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59B" w14:textId="2583F551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/1/2023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5634337F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ABM/1/202</w:t>
      </w:r>
      <w:r w:rsidR="001A3D38" w:rsidRPr="0010563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5D7623">
        <w:rPr>
          <w:rFonts w:ascii="Bio Sans" w:hAnsi="Bio Sans" w:cstheme="minorHAnsi"/>
          <w:sz w:val="18"/>
          <w:szCs w:val="18"/>
          <w:lang w:eastAsia="ar-SA"/>
        </w:rPr>
        <w:t>08.03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.2023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 </w:t>
      </w:r>
      <w:r w:rsidR="001A3D38" w:rsidRPr="00105631">
        <w:rPr>
          <w:rFonts w:ascii="Bio Sans" w:hAnsi="Bio Sans" w:cstheme="minorHAnsi"/>
          <w:b/>
          <w:color w:val="000000"/>
          <w:sz w:val="18"/>
          <w:szCs w:val="18"/>
        </w:rPr>
        <w:t>„Usługi polegającej na opracowaniu i stworzeniu projektu wzorniczego i konstrukcyjnego rękojeści do jednorazowych sond kriogenicznych, które będą poddawane sterylizacji tlenkiem etylenu”</w:t>
      </w:r>
      <w:r w:rsidR="001A3D38"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E83A6B" w:rsidRDefault="00E83A6B" w:rsidP="005D7623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wykonania przedmiotu zamówienia:</w:t>
      </w:r>
    </w:p>
    <w:p w14:paraId="14E118DB" w14:textId="77777777" w:rsidR="005D7623" w:rsidRPr="005D7623" w:rsidRDefault="005D7623" w:rsidP="005D7623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zrealizowali 3 projekty dla branży medycznej wprowadzone na rynek w ostatnich 5 latach, a jeśli okres prowadzenia działalności jest krótszy – w tym okresie (Oferent przedstawi dokumenty takie jak: portfolio, referencje, zaświadczenia lub inne)</w:t>
      </w:r>
    </w:p>
    <w:p w14:paraId="1A834F8B" w14:textId="76D8E7E2" w:rsidR="005D7623" w:rsidRPr="005D7623" w:rsidRDefault="005D7623" w:rsidP="005D7623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spacing w:after="60" w:line="276" w:lineRule="auto"/>
        <w:ind w:left="567" w:firstLine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zaprojektowali 3 detale dla branży medycznej wdrożone w technologii wtrysku wysokociśnieniowego (Oferent przedstawi dokumenty potwierdzające doświadczenie takie jak: umowy, protokoły odbioru, referencje lub inne)</w:t>
      </w:r>
    </w:p>
    <w:p w14:paraId="0E18A72C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5D7623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E83A6B">
      <w:pPr>
        <w:pStyle w:val="Default"/>
        <w:numPr>
          <w:ilvl w:val="0"/>
          <w:numId w:val="34"/>
        </w:numPr>
        <w:spacing w:before="60" w:after="60" w:line="276" w:lineRule="auto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lastRenderedPageBreak/>
        <w:t xml:space="preserve">uczestniczeniu w spółce jako wspólnik spółki cywilnej lub spółki osobowej, </w:t>
      </w:r>
    </w:p>
    <w:p w14:paraId="3EDC760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F0616E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F0616E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C89A" w14:textId="77777777" w:rsidR="00E706A9" w:rsidRDefault="00E706A9" w:rsidP="00E55E18">
      <w:r>
        <w:separator/>
      </w:r>
    </w:p>
  </w:endnote>
  <w:endnote w:type="continuationSeparator" w:id="0">
    <w:p w14:paraId="43644377" w14:textId="77777777" w:rsidR="00E706A9" w:rsidRDefault="00E706A9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>Projekt współfinansowany przez Agencję Badań Medycznych ze środków publicznych w ramach Konkursu dla przedsiębiorstw na finansowanie opracowania, oceny działania, oceny klinicznej innowacyjnych wyrobów medycznych pt „Development of an innovative device with a dedicated probe for intraoperative cryoanalgesia to implement a unique and effective pain management therapy for cardiothoracic surgery”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57F" w14:textId="77777777" w:rsidR="00E706A9" w:rsidRDefault="00E706A9" w:rsidP="00E55E18">
      <w:r>
        <w:separator/>
      </w:r>
    </w:p>
  </w:footnote>
  <w:footnote w:type="continuationSeparator" w:id="0">
    <w:p w14:paraId="19D6224F" w14:textId="77777777" w:rsidR="00E706A9" w:rsidRDefault="00E706A9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8"/>
  </w:num>
  <w:num w:numId="3" w16cid:durableId="155070084">
    <w:abstractNumId w:val="10"/>
  </w:num>
  <w:num w:numId="4" w16cid:durableId="1894808510">
    <w:abstractNumId w:val="21"/>
  </w:num>
  <w:num w:numId="5" w16cid:durableId="212691609">
    <w:abstractNumId w:val="19"/>
  </w:num>
  <w:num w:numId="6" w16cid:durableId="730470928">
    <w:abstractNumId w:val="31"/>
  </w:num>
  <w:num w:numId="7" w16cid:durableId="75132378">
    <w:abstractNumId w:val="28"/>
  </w:num>
  <w:num w:numId="8" w16cid:durableId="553195294">
    <w:abstractNumId w:val="22"/>
  </w:num>
  <w:num w:numId="9" w16cid:durableId="373390168">
    <w:abstractNumId w:val="24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41"/>
  </w:num>
  <w:num w:numId="13" w16cid:durableId="899555816">
    <w:abstractNumId w:val="40"/>
  </w:num>
  <w:num w:numId="14" w16cid:durableId="1914075656">
    <w:abstractNumId w:val="1"/>
  </w:num>
  <w:num w:numId="15" w16cid:durableId="800877670">
    <w:abstractNumId w:val="9"/>
  </w:num>
  <w:num w:numId="16" w16cid:durableId="1758936544">
    <w:abstractNumId w:val="26"/>
  </w:num>
  <w:num w:numId="17" w16cid:durableId="673846618">
    <w:abstractNumId w:val="38"/>
  </w:num>
  <w:num w:numId="18" w16cid:durableId="1231497326">
    <w:abstractNumId w:val="13"/>
  </w:num>
  <w:num w:numId="19" w16cid:durableId="1233078812">
    <w:abstractNumId w:val="8"/>
  </w:num>
  <w:num w:numId="20" w16cid:durableId="2142990325">
    <w:abstractNumId w:val="36"/>
  </w:num>
  <w:num w:numId="21" w16cid:durableId="786044364">
    <w:abstractNumId w:val="33"/>
  </w:num>
  <w:num w:numId="22" w16cid:durableId="287978146">
    <w:abstractNumId w:val="14"/>
  </w:num>
  <w:num w:numId="23" w16cid:durableId="594217637">
    <w:abstractNumId w:val="17"/>
  </w:num>
  <w:num w:numId="24" w16cid:durableId="67459439">
    <w:abstractNumId w:val="32"/>
  </w:num>
  <w:num w:numId="25" w16cid:durableId="1392659863">
    <w:abstractNumId w:val="25"/>
  </w:num>
  <w:num w:numId="26" w16cid:durableId="1513451261">
    <w:abstractNumId w:val="20"/>
  </w:num>
  <w:num w:numId="27" w16cid:durableId="1836725581">
    <w:abstractNumId w:val="39"/>
  </w:num>
  <w:num w:numId="28" w16cid:durableId="1168247730">
    <w:abstractNumId w:val="27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35"/>
  </w:num>
  <w:num w:numId="33" w16cid:durableId="367996392">
    <w:abstractNumId w:val="37"/>
  </w:num>
  <w:num w:numId="34" w16cid:durableId="1730108617">
    <w:abstractNumId w:val="29"/>
  </w:num>
  <w:num w:numId="35" w16cid:durableId="1045761498">
    <w:abstractNumId w:val="11"/>
  </w:num>
  <w:num w:numId="36" w16cid:durableId="1216701275">
    <w:abstractNumId w:val="30"/>
  </w:num>
  <w:num w:numId="37" w16cid:durableId="17463504">
    <w:abstractNumId w:val="12"/>
  </w:num>
  <w:num w:numId="38" w16cid:durableId="687099448">
    <w:abstractNumId w:val="7"/>
  </w:num>
  <w:num w:numId="39" w16cid:durableId="1999571316">
    <w:abstractNumId w:val="34"/>
  </w:num>
  <w:num w:numId="40" w16cid:durableId="506091209">
    <w:abstractNumId w:val="15"/>
  </w:num>
  <w:num w:numId="41" w16cid:durableId="1040933948">
    <w:abstractNumId w:val="16"/>
  </w:num>
  <w:num w:numId="42" w16cid:durableId="577136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32347"/>
    <w:rsid w:val="001A3D38"/>
    <w:rsid w:val="0020214D"/>
    <w:rsid w:val="00386271"/>
    <w:rsid w:val="0043676B"/>
    <w:rsid w:val="0048389D"/>
    <w:rsid w:val="004C254F"/>
    <w:rsid w:val="004F77E2"/>
    <w:rsid w:val="00516090"/>
    <w:rsid w:val="005D7623"/>
    <w:rsid w:val="006B2299"/>
    <w:rsid w:val="00741569"/>
    <w:rsid w:val="007D54C9"/>
    <w:rsid w:val="008404CE"/>
    <w:rsid w:val="009D351A"/>
    <w:rsid w:val="009F1857"/>
    <w:rsid w:val="00AC339B"/>
    <w:rsid w:val="00AF44CC"/>
    <w:rsid w:val="00C42153"/>
    <w:rsid w:val="00C954ED"/>
    <w:rsid w:val="00D4364C"/>
    <w:rsid w:val="00E55E18"/>
    <w:rsid w:val="00E706A9"/>
    <w:rsid w:val="00E83A6B"/>
    <w:rsid w:val="00F0616E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3</cp:revision>
  <dcterms:created xsi:type="dcterms:W3CDTF">2023-03-07T07:34:00Z</dcterms:created>
  <dcterms:modified xsi:type="dcterms:W3CDTF">2023-03-08T06:37:00Z</dcterms:modified>
</cp:coreProperties>
</file>